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6AA3F" w14:textId="7D08DD9E" w:rsidR="00184FC4" w:rsidRDefault="00456537">
      <w:pPr>
        <w:pStyle w:val="BodyText"/>
        <w:rPr>
          <w:rFonts w:ascii="Verdana"/>
          <w:b/>
          <w:sz w:val="24"/>
        </w:rPr>
      </w:pPr>
      <w:r w:rsidRPr="00456537">
        <w:drawing>
          <wp:inline distT="0" distB="0" distL="0" distR="0" wp14:anchorId="55D6E34E" wp14:editId="7FAE4CDE">
            <wp:extent cx="5873750" cy="111696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E3332" w14:textId="582ADEB3" w:rsidR="00456537" w:rsidRPr="00456537" w:rsidRDefault="00456537" w:rsidP="00456537">
      <w:pPr>
        <w:pStyle w:val="BodyText"/>
        <w:rPr>
          <w:rFonts w:ascii="Verdana"/>
          <w:b/>
          <w:sz w:val="24"/>
        </w:rPr>
      </w:pPr>
      <w:r w:rsidRPr="00DA0F4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D11292" wp14:editId="2E488355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54700" cy="6350"/>
                <wp:effectExtent l="0" t="19050" r="50800" b="508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63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F6F4F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" strokeweight="4.5pt">
                <v:stroke linestyle="thickThin"/>
              </v:line>
            </w:pict>
          </mc:Fallback>
        </mc:AlternateContent>
      </w:r>
    </w:p>
    <w:p w14:paraId="46D536CC" w14:textId="77777777" w:rsidR="00184FC4" w:rsidRDefault="00000000">
      <w:pPr>
        <w:pStyle w:val="Heading1"/>
        <w:spacing w:before="1"/>
        <w:ind w:left="672"/>
      </w:pPr>
      <w:r>
        <w:t>SAFEGUARDING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CODE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BEHAVIOUR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rPr>
          <w:spacing w:val="-2"/>
        </w:rPr>
        <w:t>REPRESENTATIVES</w:t>
      </w:r>
    </w:p>
    <w:p w14:paraId="7CA400E1" w14:textId="77777777" w:rsidR="00184FC4" w:rsidRDefault="00184FC4">
      <w:pPr>
        <w:pStyle w:val="BodyText"/>
        <w:spacing w:before="10"/>
        <w:rPr>
          <w:b/>
        </w:rPr>
      </w:pPr>
    </w:p>
    <w:p w14:paraId="3AC2B099" w14:textId="77777777" w:rsidR="00184FC4" w:rsidRDefault="00000000">
      <w:pPr>
        <w:pStyle w:val="BodyText"/>
        <w:ind w:left="100" w:right="109"/>
        <w:jc w:val="both"/>
      </w:pPr>
      <w:r>
        <w:t xml:space="preserve">The Welfare Fund of the Tobacco Pipe Makers and Tobacco Trade Benevolent Fund (“the Fund”) </w:t>
      </w:r>
      <w:proofErr w:type="spellStart"/>
      <w:r>
        <w:t>recognises</w:t>
      </w:r>
      <w:proofErr w:type="spellEnd"/>
      <w:r>
        <w:t xml:space="preserve"> the</w:t>
      </w:r>
      <w:r>
        <w:rPr>
          <w:spacing w:val="-2"/>
        </w:rPr>
        <w:t xml:space="preserve"> </w:t>
      </w:r>
      <w:r>
        <w:t>rights of all adults who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look</w:t>
      </w:r>
      <w:r>
        <w:rPr>
          <w:spacing w:val="-1"/>
        </w:rPr>
        <w:t xml:space="preserve"> </w:t>
      </w:r>
      <w:r>
        <w:t>for assistance 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Fund. This</w:t>
      </w:r>
      <w:r>
        <w:rPr>
          <w:spacing w:val="-1"/>
        </w:rPr>
        <w:t xml:space="preserve"> </w:t>
      </w:r>
      <w:r>
        <w:t xml:space="preserve">Code of </w:t>
      </w:r>
      <w:proofErr w:type="spellStart"/>
      <w:r>
        <w:t>Behaviour</w:t>
      </w:r>
      <w:proofErr w:type="spellEnd"/>
      <w:r>
        <w:t xml:space="preserve"> seeks to ensure that all Fund Beneficiaries (defined below) feel safe in their dealings with the Fund and that they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treated with courtesy</w:t>
      </w:r>
      <w:r>
        <w:rPr>
          <w:spacing w:val="-1"/>
        </w:rPr>
        <w:t xml:space="preserve"> </w:t>
      </w:r>
      <w:r>
        <w:t>and respect by</w:t>
      </w:r>
      <w:r>
        <w:rPr>
          <w:spacing w:val="-1"/>
        </w:rPr>
        <w:t xml:space="preserve"> </w:t>
      </w:r>
      <w:r>
        <w:t>those that work with or otherwise represent</w:t>
      </w:r>
      <w:r>
        <w:rPr>
          <w:spacing w:val="-4"/>
        </w:rPr>
        <w:t xml:space="preserve"> </w:t>
      </w:r>
      <w:r>
        <w:t>the Fund in assessing such applications or in the making of grants to such beneficiaries.</w:t>
      </w:r>
    </w:p>
    <w:p w14:paraId="59FDB6F8" w14:textId="77777777" w:rsidR="00184FC4" w:rsidRDefault="00184FC4">
      <w:pPr>
        <w:pStyle w:val="BodyText"/>
        <w:rPr>
          <w:sz w:val="22"/>
        </w:rPr>
      </w:pPr>
    </w:p>
    <w:p w14:paraId="75613CAE" w14:textId="77777777" w:rsidR="00184FC4" w:rsidRDefault="00184FC4">
      <w:pPr>
        <w:pStyle w:val="BodyText"/>
        <w:spacing w:before="3"/>
        <w:rPr>
          <w:sz w:val="18"/>
        </w:rPr>
      </w:pPr>
    </w:p>
    <w:p w14:paraId="2E61D154" w14:textId="77777777" w:rsidR="00184FC4" w:rsidRDefault="00000000">
      <w:pPr>
        <w:pStyle w:val="BodyText"/>
        <w:ind w:left="100" w:right="108"/>
        <w:jc w:val="both"/>
      </w:pPr>
      <w:proofErr w:type="gramStart"/>
      <w:r>
        <w:t>By following this Code, it</w:t>
      </w:r>
      <w:proofErr w:type="gramEnd"/>
      <w:r>
        <w:t xml:space="preserve"> is intended that all Fund Representatives (defined below) will contribute to strengthening the professionalism and impact of the work of the Fund and have a shared understanding of who we are and how</w:t>
      </w:r>
      <w:r>
        <w:rPr>
          <w:spacing w:val="-2"/>
        </w:rPr>
        <w:t xml:space="preserve"> </w:t>
      </w:r>
      <w:r>
        <w:t>we behave.</w:t>
      </w:r>
      <w:r>
        <w:rPr>
          <w:spacing w:val="80"/>
        </w:rPr>
        <w:t xml:space="preserve"> </w:t>
      </w:r>
      <w:r>
        <w:t>We expect people who take</w:t>
      </w:r>
      <w:r>
        <w:rPr>
          <w:spacing w:val="-2"/>
        </w:rPr>
        <w:t xml:space="preserve"> </w:t>
      </w:r>
      <w:r>
        <w:t xml:space="preserve">part in delivering our services and projects to </w:t>
      </w:r>
      <w:proofErr w:type="gramStart"/>
      <w:r>
        <w:t xml:space="preserve">display appropriate </w:t>
      </w:r>
      <w:proofErr w:type="spellStart"/>
      <w:r>
        <w:t>behaviour</w:t>
      </w:r>
      <w:proofErr w:type="spellEnd"/>
      <w:r>
        <w:t xml:space="preserve"> at all times</w:t>
      </w:r>
      <w:proofErr w:type="gramEnd"/>
      <w:r>
        <w:t xml:space="preserve">. We hope that by following this Code you will understand and maintain the standard of </w:t>
      </w:r>
      <w:proofErr w:type="spellStart"/>
      <w:r>
        <w:t>behaviour</w:t>
      </w:r>
      <w:proofErr w:type="spellEnd"/>
      <w:r>
        <w:t xml:space="preserve"> expected of you, help to protect Fund Beneficiaries from abuse and inappropriate </w:t>
      </w:r>
      <w:proofErr w:type="spellStart"/>
      <w:r>
        <w:t>behaviour</w:t>
      </w:r>
      <w:proofErr w:type="spellEnd"/>
      <w:r>
        <w:t>, and reduce the possibility of unfounded allegations of abuse being made against you.</w:t>
      </w:r>
      <w:r>
        <w:rPr>
          <w:spacing w:val="40"/>
        </w:rPr>
        <w:t xml:space="preserve"> </w:t>
      </w:r>
      <w:r>
        <w:t xml:space="preserve">We are committed to maintaining a culture of safeguarding and to create a fair open and positive culture through all the layers and activities of our </w:t>
      </w:r>
      <w:proofErr w:type="spellStart"/>
      <w:r>
        <w:t>organisation</w:t>
      </w:r>
      <w:proofErr w:type="spellEnd"/>
      <w:r>
        <w:t xml:space="preserve"> so that everyone involved in the work of the Fund feels able to report any concerns, confident that they will be heard and responded to.</w:t>
      </w:r>
    </w:p>
    <w:p w14:paraId="79A84F91" w14:textId="77777777" w:rsidR="00184FC4" w:rsidRDefault="00184FC4">
      <w:pPr>
        <w:pStyle w:val="BodyText"/>
        <w:spacing w:before="1"/>
      </w:pPr>
    </w:p>
    <w:p w14:paraId="49015587" w14:textId="77777777" w:rsidR="00184FC4" w:rsidRDefault="00000000">
      <w:pPr>
        <w:pStyle w:val="BodyText"/>
        <w:ind w:left="100"/>
        <w:jc w:val="both"/>
      </w:pP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proofErr w:type="spellStart"/>
      <w:r>
        <w:t>Behaviour</w:t>
      </w:r>
      <w:proofErr w:type="spellEnd"/>
      <w:r>
        <w:t>,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definitions</w:t>
      </w:r>
      <w:r>
        <w:rPr>
          <w:spacing w:val="-5"/>
        </w:rPr>
        <w:t xml:space="preserve"> </w:t>
      </w:r>
      <w:r>
        <w:rPr>
          <w:spacing w:val="-2"/>
        </w:rPr>
        <w:t>apply:</w:t>
      </w:r>
    </w:p>
    <w:p w14:paraId="533AEC97" w14:textId="77777777" w:rsidR="00184FC4" w:rsidRDefault="00184FC4">
      <w:pPr>
        <w:pStyle w:val="BodyText"/>
        <w:spacing w:before="3"/>
      </w:pPr>
    </w:p>
    <w:p w14:paraId="169340D0" w14:textId="77777777" w:rsidR="00184FC4" w:rsidRDefault="00000000">
      <w:pPr>
        <w:pStyle w:val="BodyText"/>
        <w:spacing w:line="237" w:lineRule="auto"/>
        <w:ind w:left="100" w:right="88"/>
      </w:pPr>
      <w:r>
        <w:rPr>
          <w:b/>
        </w:rPr>
        <w:t xml:space="preserve">Fund Representatives </w:t>
      </w:r>
      <w:r>
        <w:t>includes trustees, Forum Court employees, Field Welfare Officers employed 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sub-contractor</w:t>
      </w:r>
      <w:r>
        <w:rPr>
          <w:spacing w:val="-1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Forum</w:t>
      </w:r>
      <w:r>
        <w:rPr>
          <w:spacing w:val="-1"/>
        </w:rPr>
        <w:t xml:space="preserve"> </w:t>
      </w:r>
      <w:r>
        <w:t>Court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employees, seconded</w:t>
      </w:r>
      <w:r>
        <w:rPr>
          <w:spacing w:val="-2"/>
        </w:rPr>
        <w:t xml:space="preserve"> </w:t>
      </w:r>
      <w:r>
        <w:t>staff,</w:t>
      </w:r>
      <w:r>
        <w:rPr>
          <w:spacing w:val="-4"/>
        </w:rPr>
        <w:t xml:space="preserve"> </w:t>
      </w:r>
      <w:r>
        <w:t>mentors,</w:t>
      </w:r>
      <w:r>
        <w:rPr>
          <w:spacing w:val="-4"/>
        </w:rPr>
        <w:t xml:space="preserve"> </w:t>
      </w:r>
      <w:r>
        <w:t xml:space="preserve">students, agency workers, contract, seasonal and unpaid </w:t>
      </w:r>
      <w:proofErr w:type="gramStart"/>
      <w:r>
        <w:t>staff</w:t>
      </w:r>
      <w:proofErr w:type="gramEnd"/>
      <w:r>
        <w:t xml:space="preserve"> and volunteers working on behalf of the</w:t>
      </w:r>
      <w:r>
        <w:rPr>
          <w:spacing w:val="-3"/>
        </w:rPr>
        <w:t xml:space="preserve"> </w:t>
      </w:r>
      <w:r>
        <w:t>Fund in any capacity and in any setting.</w:t>
      </w:r>
    </w:p>
    <w:p w14:paraId="2A2A2AE1" w14:textId="77777777" w:rsidR="00184FC4" w:rsidRDefault="00184FC4">
      <w:pPr>
        <w:pStyle w:val="BodyText"/>
        <w:spacing w:before="5"/>
      </w:pPr>
    </w:p>
    <w:p w14:paraId="2EBBBFDF" w14:textId="77777777" w:rsidR="00184FC4" w:rsidRDefault="00000000">
      <w:pPr>
        <w:pStyle w:val="BodyText"/>
        <w:ind w:left="100" w:right="107"/>
        <w:jc w:val="both"/>
      </w:pPr>
      <w:r>
        <w:rPr>
          <w:b/>
        </w:rPr>
        <w:t xml:space="preserve">Fund Beneficiary/Beneficiaries </w:t>
      </w:r>
      <w:r>
        <w:t>means those individuals who approach the Fund for assistance or who are already beneficiaries together with their families and who may be vulnerable for example, someone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is, or may be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of, care</w:t>
      </w:r>
      <w:r>
        <w:rPr>
          <w:spacing w:val="-1"/>
        </w:rPr>
        <w:t xml:space="preserve"> </w:t>
      </w:r>
      <w:r>
        <w:t>by reason</w:t>
      </w:r>
      <w:r>
        <w:rPr>
          <w:spacing w:val="-1"/>
        </w:rPr>
        <w:t xml:space="preserve"> </w:t>
      </w:r>
      <w:r>
        <w:t>of mental</w:t>
      </w:r>
      <w:r>
        <w:rPr>
          <w:spacing w:val="-1"/>
        </w:rPr>
        <w:t xml:space="preserve"> </w:t>
      </w:r>
      <w:r>
        <w:t>or other disability, age</w:t>
      </w:r>
      <w:r>
        <w:rPr>
          <w:spacing w:val="-1"/>
        </w:rPr>
        <w:t xml:space="preserve"> </w:t>
      </w:r>
      <w:r>
        <w:t>or illness; and who is or may be unable to take care of</w:t>
      </w:r>
      <w:r>
        <w:rPr>
          <w:spacing w:val="34"/>
        </w:rPr>
        <w:t xml:space="preserve"> </w:t>
      </w:r>
      <w:r>
        <w:t>him or herself,</w:t>
      </w:r>
      <w:r>
        <w:rPr>
          <w:spacing w:val="34"/>
        </w:rPr>
        <w:t xml:space="preserve"> </w:t>
      </w:r>
      <w:r>
        <w:t>or otherwise be unable to protect him or herself against significant harm</w:t>
      </w:r>
      <w:r>
        <w:rPr>
          <w:spacing w:val="-1"/>
        </w:rPr>
        <w:t xml:space="preserve"> </w:t>
      </w:r>
      <w:r>
        <w:t>or exploitation.</w:t>
      </w:r>
      <w:r>
        <w:rPr>
          <w:spacing w:val="40"/>
        </w:rPr>
        <w:t xml:space="preserve"> </w:t>
      </w:r>
      <w:r>
        <w:t>It also includes children – anyone under the</w:t>
      </w:r>
      <w:r>
        <w:rPr>
          <w:spacing w:val="-3"/>
        </w:rPr>
        <w:t xml:space="preserve"> </w:t>
      </w:r>
      <w:r>
        <w:t>age of 18 years old.</w:t>
      </w:r>
      <w:r>
        <w:rPr>
          <w:spacing w:val="80"/>
        </w:rPr>
        <w:t xml:space="preserve"> </w:t>
      </w:r>
      <w:r>
        <w:rPr>
          <w:u w:val="single"/>
        </w:rPr>
        <w:t xml:space="preserve">Our definition is drafted widely to include the wide range of people that the Fund </w:t>
      </w:r>
      <w:proofErr w:type="gramStart"/>
      <w:r>
        <w:rPr>
          <w:u w:val="single"/>
        </w:rPr>
        <w:t>comes</w:t>
      </w:r>
      <w:r>
        <w:t xml:space="preserve"> </w:t>
      </w:r>
      <w:r>
        <w:rPr>
          <w:u w:val="single"/>
        </w:rPr>
        <w:t>into contact with</w:t>
      </w:r>
      <w:proofErr w:type="gramEnd"/>
      <w:r>
        <w:rPr>
          <w:u w:val="single"/>
        </w:rPr>
        <w:t xml:space="preserve"> through its work.</w:t>
      </w:r>
    </w:p>
    <w:p w14:paraId="73BCA873" w14:textId="77777777" w:rsidR="00184FC4" w:rsidRDefault="00184FC4">
      <w:pPr>
        <w:pStyle w:val="BodyText"/>
      </w:pPr>
    </w:p>
    <w:p w14:paraId="279726D6" w14:textId="77777777" w:rsidR="00184FC4" w:rsidRDefault="00184FC4">
      <w:pPr>
        <w:pStyle w:val="BodyText"/>
        <w:spacing w:before="11"/>
        <w:rPr>
          <w:sz w:val="19"/>
        </w:rPr>
      </w:pPr>
    </w:p>
    <w:p w14:paraId="6CB99850" w14:textId="77777777" w:rsidR="00184FC4" w:rsidRDefault="00000000">
      <w:pPr>
        <w:pStyle w:val="Heading1"/>
        <w:jc w:val="both"/>
      </w:pPr>
      <w:r>
        <w:t>WORKING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rPr>
          <w:spacing w:val="-2"/>
        </w:rPr>
        <w:t>BENEFICIARIES</w:t>
      </w:r>
    </w:p>
    <w:p w14:paraId="27151439" w14:textId="77777777" w:rsidR="00184FC4" w:rsidRDefault="00184FC4">
      <w:pPr>
        <w:pStyle w:val="BodyText"/>
        <w:spacing w:before="1"/>
        <w:rPr>
          <w:b/>
        </w:rPr>
      </w:pPr>
    </w:p>
    <w:p w14:paraId="6EB59C8E" w14:textId="77777777" w:rsidR="00184FC4" w:rsidRDefault="00000000">
      <w:pPr>
        <w:pStyle w:val="BodyText"/>
        <w:ind w:left="100" w:right="107"/>
        <w:jc w:val="both"/>
      </w:pPr>
      <w:r>
        <w:t xml:space="preserve">When working with Fund Beneficiaries, Fund Representatives are acting in a position of trust. Fund Representatives are likely to be seen as role models and must </w:t>
      </w:r>
      <w:proofErr w:type="gramStart"/>
      <w:r>
        <w:t>act in an appropriate manner at all times</w:t>
      </w:r>
      <w:proofErr w:type="gramEnd"/>
      <w:r>
        <w:t>. The following list provides a guide for what we consider to be important and appropriate:</w:t>
      </w:r>
    </w:p>
    <w:p w14:paraId="4843E939" w14:textId="77777777" w:rsidR="00184FC4" w:rsidRDefault="00184FC4">
      <w:pPr>
        <w:pStyle w:val="BodyText"/>
        <w:spacing w:before="3"/>
      </w:pPr>
    </w:p>
    <w:p w14:paraId="70571070" w14:textId="77777777" w:rsidR="00184FC4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3" w:lineRule="exact"/>
        <w:rPr>
          <w:sz w:val="20"/>
        </w:rPr>
      </w:pPr>
      <w:r>
        <w:rPr>
          <w:sz w:val="20"/>
        </w:rPr>
        <w:t>operate</w:t>
      </w:r>
      <w:r>
        <w:rPr>
          <w:spacing w:val="-7"/>
          <w:sz w:val="20"/>
        </w:rPr>
        <w:t xml:space="preserve"> </w:t>
      </w:r>
      <w:r>
        <w:rPr>
          <w:sz w:val="20"/>
        </w:rPr>
        <w:t>within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Fund’s</w:t>
      </w:r>
      <w:r>
        <w:rPr>
          <w:spacing w:val="-5"/>
          <w:sz w:val="20"/>
        </w:rPr>
        <w:t xml:space="preserve"> </w:t>
      </w:r>
      <w:r>
        <w:rPr>
          <w:sz w:val="20"/>
        </w:rPr>
        <w:t>principles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proofErr w:type="gramStart"/>
      <w:r>
        <w:rPr>
          <w:spacing w:val="-2"/>
          <w:sz w:val="20"/>
        </w:rPr>
        <w:t>guidance;</w:t>
      </w:r>
      <w:proofErr w:type="gramEnd"/>
    </w:p>
    <w:p w14:paraId="571E85A2" w14:textId="77777777" w:rsidR="00184FC4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2" w:lineRule="exact"/>
        <w:rPr>
          <w:sz w:val="20"/>
        </w:rPr>
      </w:pPr>
      <w:r>
        <w:rPr>
          <w:sz w:val="20"/>
        </w:rPr>
        <w:t>follow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Fund’s</w:t>
      </w:r>
      <w:r>
        <w:rPr>
          <w:spacing w:val="-4"/>
          <w:sz w:val="20"/>
        </w:rPr>
        <w:t xml:space="preserve"> </w:t>
      </w:r>
      <w:r>
        <w:rPr>
          <w:sz w:val="20"/>
        </w:rPr>
        <w:t>policies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procedures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proofErr w:type="gramStart"/>
      <w:r>
        <w:rPr>
          <w:spacing w:val="-2"/>
          <w:sz w:val="20"/>
        </w:rPr>
        <w:t>times;</w:t>
      </w:r>
      <w:proofErr w:type="gramEnd"/>
    </w:p>
    <w:p w14:paraId="48F975E3" w14:textId="77777777" w:rsidR="00184FC4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5" w:lineRule="exact"/>
        <w:rPr>
          <w:sz w:val="20"/>
        </w:rPr>
      </w:pPr>
      <w:r>
        <w:rPr>
          <w:sz w:val="20"/>
        </w:rPr>
        <w:t>comply</w:t>
      </w:r>
      <w:r>
        <w:rPr>
          <w:spacing w:val="-9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safeguarding</w:t>
      </w:r>
      <w:r>
        <w:rPr>
          <w:spacing w:val="-9"/>
          <w:sz w:val="20"/>
        </w:rPr>
        <w:t xml:space="preserve"> </w:t>
      </w:r>
      <w:r>
        <w:rPr>
          <w:sz w:val="20"/>
        </w:rPr>
        <w:t>legislation</w:t>
      </w:r>
      <w:r>
        <w:rPr>
          <w:spacing w:val="-8"/>
          <w:sz w:val="20"/>
        </w:rPr>
        <w:t xml:space="preserve"> </w:t>
      </w:r>
      <w:r>
        <w:rPr>
          <w:sz w:val="20"/>
        </w:rPr>
        <w:t>where</w:t>
      </w:r>
      <w:r>
        <w:rPr>
          <w:spacing w:val="-8"/>
          <w:sz w:val="20"/>
        </w:rPr>
        <w:t xml:space="preserve"> </w:t>
      </w:r>
      <w:proofErr w:type="gramStart"/>
      <w:r>
        <w:rPr>
          <w:spacing w:val="-2"/>
          <w:sz w:val="20"/>
        </w:rPr>
        <w:t>relevant;</w:t>
      </w:r>
      <w:proofErr w:type="gramEnd"/>
    </w:p>
    <w:p w14:paraId="252C5DBB" w14:textId="77777777" w:rsidR="00184FC4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20"/>
        <w:rPr>
          <w:sz w:val="20"/>
        </w:rPr>
      </w:pPr>
      <w:r>
        <w:rPr>
          <w:sz w:val="20"/>
        </w:rPr>
        <w:t>ensure that any contact with Fund Beneficiaries is only in direct pursuit of your role with the</w:t>
      </w:r>
      <w:r>
        <w:rPr>
          <w:spacing w:val="40"/>
          <w:sz w:val="20"/>
        </w:rPr>
        <w:t xml:space="preserve"> </w:t>
      </w:r>
      <w:proofErr w:type="gramStart"/>
      <w:r>
        <w:rPr>
          <w:spacing w:val="-2"/>
          <w:sz w:val="20"/>
        </w:rPr>
        <w:t>Fund;</w:t>
      </w:r>
      <w:proofErr w:type="gramEnd"/>
    </w:p>
    <w:p w14:paraId="3214A7BA" w14:textId="77777777" w:rsidR="00184FC4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3" w:lineRule="exact"/>
        <w:rPr>
          <w:sz w:val="20"/>
        </w:rPr>
      </w:pPr>
      <w:r>
        <w:rPr>
          <w:sz w:val="20"/>
        </w:rPr>
        <w:t>listen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respect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dignity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Fund</w:t>
      </w:r>
      <w:r>
        <w:rPr>
          <w:spacing w:val="-5"/>
          <w:sz w:val="20"/>
        </w:rPr>
        <w:t xml:space="preserve"> </w:t>
      </w:r>
      <w:r>
        <w:rPr>
          <w:sz w:val="20"/>
        </w:rPr>
        <w:t>Beneficiaries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proofErr w:type="gramStart"/>
      <w:r>
        <w:rPr>
          <w:spacing w:val="-2"/>
          <w:sz w:val="20"/>
        </w:rPr>
        <w:t>times;</w:t>
      </w:r>
      <w:proofErr w:type="gramEnd"/>
    </w:p>
    <w:p w14:paraId="5D734769" w14:textId="77777777" w:rsidR="00184FC4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3" w:lineRule="exact"/>
        <w:rPr>
          <w:sz w:val="20"/>
        </w:rPr>
      </w:pPr>
      <w:r>
        <w:rPr>
          <w:sz w:val="20"/>
        </w:rPr>
        <w:t>avoid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favouritism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treat</w:t>
      </w:r>
      <w:r>
        <w:rPr>
          <w:spacing w:val="-9"/>
          <w:sz w:val="20"/>
        </w:rPr>
        <w:t xml:space="preserve"> </w:t>
      </w:r>
      <w:r>
        <w:rPr>
          <w:sz w:val="20"/>
        </w:rPr>
        <w:t>Fund</w:t>
      </w:r>
      <w:r>
        <w:rPr>
          <w:spacing w:val="-11"/>
          <w:sz w:val="20"/>
        </w:rPr>
        <w:t xml:space="preserve"> </w:t>
      </w:r>
      <w:r>
        <w:rPr>
          <w:sz w:val="20"/>
        </w:rPr>
        <w:t>Beneficiaries</w:t>
      </w:r>
      <w:r>
        <w:rPr>
          <w:spacing w:val="-4"/>
          <w:sz w:val="20"/>
        </w:rPr>
        <w:t xml:space="preserve"> </w:t>
      </w:r>
      <w:proofErr w:type="gramStart"/>
      <w:r>
        <w:rPr>
          <w:spacing w:val="-2"/>
          <w:sz w:val="20"/>
        </w:rPr>
        <w:t>fairly;</w:t>
      </w:r>
      <w:proofErr w:type="gramEnd"/>
    </w:p>
    <w:p w14:paraId="2A8773DE" w14:textId="77777777" w:rsidR="00184FC4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5" w:lineRule="exact"/>
        <w:rPr>
          <w:sz w:val="20"/>
        </w:rPr>
      </w:pPr>
      <w:r>
        <w:rPr>
          <w:sz w:val="20"/>
        </w:rPr>
        <w:t>ensure</w:t>
      </w:r>
      <w:r>
        <w:rPr>
          <w:spacing w:val="-7"/>
          <w:sz w:val="20"/>
        </w:rPr>
        <w:t xml:space="preserve"> </w:t>
      </w:r>
      <w:r>
        <w:rPr>
          <w:sz w:val="20"/>
        </w:rPr>
        <w:t>language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age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ability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proofErr w:type="gramStart"/>
      <w:r>
        <w:rPr>
          <w:spacing w:val="-2"/>
          <w:sz w:val="20"/>
        </w:rPr>
        <w:t>offensive;</w:t>
      </w:r>
      <w:proofErr w:type="gramEnd"/>
    </w:p>
    <w:p w14:paraId="2974D4A1" w14:textId="77777777" w:rsidR="00184FC4" w:rsidRDefault="00000000">
      <w:pPr>
        <w:pStyle w:val="ListParagraph"/>
        <w:numPr>
          <w:ilvl w:val="0"/>
          <w:numId w:val="1"/>
        </w:numPr>
        <w:tabs>
          <w:tab w:val="left" w:pos="821"/>
        </w:tabs>
        <w:ind w:right="116"/>
        <w:jc w:val="both"/>
        <w:rPr>
          <w:sz w:val="20"/>
        </w:rPr>
      </w:pPr>
      <w:r>
        <w:rPr>
          <w:sz w:val="20"/>
        </w:rPr>
        <w:t xml:space="preserve">challenge unacceptable </w:t>
      </w:r>
      <w:proofErr w:type="spellStart"/>
      <w:r>
        <w:rPr>
          <w:sz w:val="20"/>
        </w:rPr>
        <w:t>behaviour</w:t>
      </w:r>
      <w:proofErr w:type="spellEnd"/>
      <w:r>
        <w:rPr>
          <w:sz w:val="20"/>
        </w:rPr>
        <w:t xml:space="preserve"> and report any concerns and all allegations/suspicions of </w:t>
      </w:r>
      <w:proofErr w:type="gramStart"/>
      <w:r>
        <w:rPr>
          <w:spacing w:val="-2"/>
          <w:sz w:val="20"/>
        </w:rPr>
        <w:t>abuse;</w:t>
      </w:r>
      <w:proofErr w:type="gramEnd"/>
    </w:p>
    <w:p w14:paraId="020DFB2F" w14:textId="77777777" w:rsidR="00184FC4" w:rsidRDefault="00000000">
      <w:pPr>
        <w:pStyle w:val="ListParagraph"/>
        <w:numPr>
          <w:ilvl w:val="0"/>
          <w:numId w:val="1"/>
        </w:numPr>
        <w:tabs>
          <w:tab w:val="left" w:pos="821"/>
        </w:tabs>
        <w:ind w:right="111"/>
        <w:jc w:val="both"/>
        <w:rPr>
          <w:sz w:val="20"/>
        </w:rPr>
      </w:pPr>
      <w:r>
        <w:rPr>
          <w:sz w:val="20"/>
        </w:rPr>
        <w:t xml:space="preserve">ensure that any concerns or allegations of abuse are responded to sensitively, respectfully and seriously, referred appropriately and co-operating with the work of statutory agencies as </w:t>
      </w:r>
      <w:proofErr w:type="gramStart"/>
      <w:r>
        <w:rPr>
          <w:spacing w:val="-2"/>
          <w:sz w:val="20"/>
        </w:rPr>
        <w:t>necessary;</w:t>
      </w:r>
      <w:proofErr w:type="gramEnd"/>
    </w:p>
    <w:p w14:paraId="6D69F39E" w14:textId="77777777" w:rsidR="00184FC4" w:rsidRDefault="00184FC4">
      <w:pPr>
        <w:jc w:val="both"/>
        <w:rPr>
          <w:sz w:val="20"/>
        </w:rPr>
        <w:sectPr w:rsidR="00184FC4">
          <w:footerReference w:type="default" r:id="rId8"/>
          <w:type w:val="continuous"/>
          <w:pgSz w:w="11910" w:h="16840"/>
          <w:pgMar w:top="880" w:right="1320" w:bottom="880" w:left="1340" w:header="0" w:footer="683" w:gutter="0"/>
          <w:pgNumType w:start="1"/>
          <w:cols w:space="720"/>
        </w:sectPr>
      </w:pPr>
    </w:p>
    <w:p w14:paraId="14B3E16D" w14:textId="77777777" w:rsidR="00184FC4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5"/>
        <w:ind w:right="113"/>
        <w:rPr>
          <w:sz w:val="20"/>
        </w:rPr>
      </w:pPr>
      <w:r>
        <w:rPr>
          <w:sz w:val="20"/>
        </w:rPr>
        <w:lastRenderedPageBreak/>
        <w:t>make</w:t>
      </w:r>
      <w:r>
        <w:rPr>
          <w:spacing w:val="22"/>
          <w:sz w:val="20"/>
        </w:rPr>
        <w:t xml:space="preserve"> </w:t>
      </w:r>
      <w:r>
        <w:rPr>
          <w:sz w:val="20"/>
        </w:rPr>
        <w:t>sure that</w:t>
      </w:r>
      <w:r>
        <w:rPr>
          <w:spacing w:val="25"/>
          <w:sz w:val="20"/>
        </w:rPr>
        <w:t xml:space="preserve"> </w:t>
      </w:r>
      <w:r>
        <w:rPr>
          <w:sz w:val="20"/>
        </w:rPr>
        <w:t>any</w:t>
      </w:r>
      <w:r>
        <w:rPr>
          <w:spacing w:val="19"/>
          <w:sz w:val="20"/>
        </w:rPr>
        <w:t xml:space="preserve"> </w:t>
      </w:r>
      <w:r>
        <w:rPr>
          <w:sz w:val="20"/>
        </w:rPr>
        <w:t>Fund Beneficiaries</w:t>
      </w:r>
      <w:r>
        <w:rPr>
          <w:spacing w:val="23"/>
          <w:sz w:val="20"/>
        </w:rPr>
        <w:t xml:space="preserve"> </w:t>
      </w:r>
      <w:r>
        <w:rPr>
          <w:sz w:val="20"/>
        </w:rPr>
        <w:t>who</w:t>
      </w:r>
      <w:r>
        <w:rPr>
          <w:spacing w:val="22"/>
          <w:sz w:val="20"/>
        </w:rPr>
        <w:t xml:space="preserve"> </w:t>
      </w:r>
      <w:r>
        <w:rPr>
          <w:sz w:val="20"/>
        </w:rPr>
        <w:t>may</w:t>
      </w:r>
      <w:r>
        <w:rPr>
          <w:spacing w:val="19"/>
          <w:sz w:val="20"/>
        </w:rPr>
        <w:t xml:space="preserve"> </w:t>
      </w:r>
      <w:r>
        <w:rPr>
          <w:sz w:val="20"/>
        </w:rPr>
        <w:t>be adults</w:t>
      </w:r>
      <w:r>
        <w:rPr>
          <w:spacing w:val="23"/>
          <w:sz w:val="20"/>
        </w:rPr>
        <w:t xml:space="preserve"> </w:t>
      </w:r>
      <w:r>
        <w:rPr>
          <w:sz w:val="20"/>
        </w:rPr>
        <w:t>at</w:t>
      </w:r>
      <w:r>
        <w:rPr>
          <w:spacing w:val="25"/>
          <w:sz w:val="20"/>
        </w:rPr>
        <w:t xml:space="preserve"> </w:t>
      </w:r>
      <w:r>
        <w:rPr>
          <w:sz w:val="20"/>
        </w:rPr>
        <w:t>risk,</w:t>
      </w:r>
      <w:r>
        <w:rPr>
          <w:spacing w:val="20"/>
          <w:sz w:val="20"/>
        </w:rPr>
        <w:t xml:space="preserve"> </w:t>
      </w:r>
      <w:r>
        <w:rPr>
          <w:sz w:val="20"/>
        </w:rPr>
        <w:t>their</w:t>
      </w:r>
      <w:r>
        <w:rPr>
          <w:spacing w:val="19"/>
          <w:sz w:val="20"/>
        </w:rPr>
        <w:t xml:space="preserve"> </w:t>
      </w:r>
      <w:r>
        <w:rPr>
          <w:sz w:val="20"/>
        </w:rPr>
        <w:t>families</w:t>
      </w:r>
      <w:r>
        <w:rPr>
          <w:spacing w:val="23"/>
          <w:sz w:val="20"/>
        </w:rPr>
        <w:t xml:space="preserve"> </w:t>
      </w:r>
      <w:r>
        <w:rPr>
          <w:sz w:val="20"/>
        </w:rPr>
        <w:t>and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carers know where to go for help if they have a </w:t>
      </w:r>
      <w:proofErr w:type="gramStart"/>
      <w:r>
        <w:rPr>
          <w:sz w:val="20"/>
        </w:rPr>
        <w:t>concern;</w:t>
      </w:r>
      <w:proofErr w:type="gramEnd"/>
    </w:p>
    <w:p w14:paraId="53DBC1BA" w14:textId="77777777" w:rsidR="00184FC4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11"/>
        <w:rPr>
          <w:sz w:val="20"/>
        </w:rPr>
      </w:pPr>
      <w:r>
        <w:rPr>
          <w:sz w:val="20"/>
        </w:rPr>
        <w:t>act</w:t>
      </w:r>
      <w:r>
        <w:rPr>
          <w:spacing w:val="80"/>
          <w:sz w:val="20"/>
        </w:rPr>
        <w:t xml:space="preserve"> </w:t>
      </w:r>
      <w:r>
        <w:rPr>
          <w:sz w:val="20"/>
        </w:rPr>
        <w:t>immediately</w:t>
      </w:r>
      <w:r>
        <w:rPr>
          <w:spacing w:val="80"/>
          <w:sz w:val="20"/>
        </w:rPr>
        <w:t xml:space="preserve"> </w:t>
      </w:r>
      <w:r>
        <w:rPr>
          <w:sz w:val="20"/>
        </w:rPr>
        <w:t>to</w:t>
      </w:r>
      <w:r>
        <w:rPr>
          <w:spacing w:val="80"/>
          <w:sz w:val="20"/>
        </w:rPr>
        <w:t xml:space="preserve"> </w:t>
      </w:r>
      <w:r>
        <w:rPr>
          <w:sz w:val="20"/>
        </w:rPr>
        <w:t>refer</w:t>
      </w:r>
      <w:r>
        <w:rPr>
          <w:spacing w:val="80"/>
          <w:sz w:val="20"/>
        </w:rPr>
        <w:t xml:space="preserve"> </w:t>
      </w:r>
      <w:r>
        <w:rPr>
          <w:sz w:val="20"/>
        </w:rPr>
        <w:t>any</w:t>
      </w:r>
      <w:r>
        <w:rPr>
          <w:spacing w:val="80"/>
          <w:sz w:val="20"/>
        </w:rPr>
        <w:t xml:space="preserve"> </w:t>
      </w:r>
      <w:r>
        <w:rPr>
          <w:sz w:val="20"/>
        </w:rPr>
        <w:t>emergency</w:t>
      </w:r>
      <w:r>
        <w:rPr>
          <w:spacing w:val="80"/>
          <w:sz w:val="20"/>
        </w:rPr>
        <w:t xml:space="preserve"> </w:t>
      </w:r>
      <w:r>
        <w:rPr>
          <w:sz w:val="20"/>
        </w:rPr>
        <w:t>concerns</w:t>
      </w:r>
      <w:r>
        <w:rPr>
          <w:spacing w:val="80"/>
          <w:sz w:val="20"/>
        </w:rPr>
        <w:t xml:space="preserve"> </w:t>
      </w:r>
      <w:r>
        <w:rPr>
          <w:sz w:val="20"/>
        </w:rPr>
        <w:t>to</w:t>
      </w:r>
      <w:r>
        <w:rPr>
          <w:spacing w:val="80"/>
          <w:sz w:val="20"/>
        </w:rPr>
        <w:t xml:space="preserve"> </w:t>
      </w:r>
      <w:r>
        <w:rPr>
          <w:sz w:val="20"/>
        </w:rPr>
        <w:t>the</w:t>
      </w:r>
      <w:r>
        <w:rPr>
          <w:spacing w:val="80"/>
          <w:sz w:val="20"/>
        </w:rPr>
        <w:t xml:space="preserve"> </w:t>
      </w:r>
      <w:r>
        <w:rPr>
          <w:sz w:val="20"/>
        </w:rPr>
        <w:t>relevant</w:t>
      </w:r>
      <w:r>
        <w:rPr>
          <w:spacing w:val="80"/>
          <w:sz w:val="20"/>
        </w:rPr>
        <w:t xml:space="preserve"> </w:t>
      </w:r>
      <w:r>
        <w:rPr>
          <w:sz w:val="20"/>
        </w:rPr>
        <w:t>statutory</w:t>
      </w:r>
      <w:r>
        <w:rPr>
          <w:spacing w:val="80"/>
          <w:sz w:val="20"/>
        </w:rPr>
        <w:t xml:space="preserve"> </w:t>
      </w:r>
      <w:r>
        <w:rPr>
          <w:sz w:val="20"/>
        </w:rPr>
        <w:t>or</w:t>
      </w:r>
      <w:r>
        <w:rPr>
          <w:spacing w:val="80"/>
          <w:sz w:val="20"/>
        </w:rPr>
        <w:t xml:space="preserve"> </w:t>
      </w:r>
      <w:r>
        <w:rPr>
          <w:sz w:val="20"/>
        </w:rPr>
        <w:t xml:space="preserve">other appropriate agency, including the Police or local Social Services </w:t>
      </w:r>
      <w:proofErr w:type="gramStart"/>
      <w:r>
        <w:rPr>
          <w:sz w:val="20"/>
        </w:rPr>
        <w:t>department;</w:t>
      </w:r>
      <w:proofErr w:type="gramEnd"/>
    </w:p>
    <w:p w14:paraId="30A3E014" w14:textId="77777777" w:rsidR="00184FC4" w:rsidRDefault="00184FC4">
      <w:pPr>
        <w:pStyle w:val="BodyText"/>
        <w:spacing w:before="8"/>
        <w:rPr>
          <w:sz w:val="19"/>
        </w:rPr>
      </w:pPr>
    </w:p>
    <w:p w14:paraId="19D81B23" w14:textId="77777777" w:rsidR="00184FC4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5" w:lineRule="exact"/>
        <w:rPr>
          <w:sz w:val="20"/>
        </w:rPr>
      </w:pPr>
      <w:r>
        <w:rPr>
          <w:sz w:val="20"/>
        </w:rPr>
        <w:t>respect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z w:val="20"/>
        </w:rPr>
        <w:t>Fund</w:t>
      </w:r>
      <w:r>
        <w:rPr>
          <w:spacing w:val="-7"/>
          <w:sz w:val="20"/>
        </w:rPr>
        <w:t xml:space="preserve"> </w:t>
      </w:r>
      <w:r>
        <w:rPr>
          <w:sz w:val="20"/>
        </w:rPr>
        <w:t>Beneficiaries’</w:t>
      </w:r>
      <w:r>
        <w:rPr>
          <w:spacing w:val="-7"/>
          <w:sz w:val="20"/>
        </w:rPr>
        <w:t xml:space="preserve"> </w:t>
      </w:r>
      <w:r>
        <w:rPr>
          <w:sz w:val="20"/>
        </w:rPr>
        <w:t>individual</w:t>
      </w:r>
      <w:r>
        <w:rPr>
          <w:spacing w:val="-7"/>
          <w:sz w:val="20"/>
        </w:rPr>
        <w:t xml:space="preserve"> </w:t>
      </w:r>
      <w:r>
        <w:rPr>
          <w:sz w:val="20"/>
        </w:rPr>
        <w:t>rights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personal</w:t>
      </w:r>
      <w:r>
        <w:rPr>
          <w:spacing w:val="-7"/>
          <w:sz w:val="20"/>
        </w:rPr>
        <w:t xml:space="preserve"> </w:t>
      </w:r>
      <w:proofErr w:type="gramStart"/>
      <w:r>
        <w:rPr>
          <w:spacing w:val="-2"/>
          <w:sz w:val="20"/>
        </w:rPr>
        <w:t>privacy;</w:t>
      </w:r>
      <w:proofErr w:type="gramEnd"/>
    </w:p>
    <w:p w14:paraId="1295C637" w14:textId="77777777" w:rsidR="00184FC4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08"/>
        <w:rPr>
          <w:sz w:val="20"/>
        </w:rPr>
      </w:pPr>
      <w:proofErr w:type="spellStart"/>
      <w:r>
        <w:rPr>
          <w:sz w:val="20"/>
        </w:rPr>
        <w:t>recognise</w:t>
      </w:r>
      <w:proofErr w:type="spellEnd"/>
      <w:r>
        <w:rPr>
          <w:sz w:val="20"/>
        </w:rPr>
        <w:t xml:space="preserve"> that special caution may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be required when you are discussing sensitive issues with Fund </w:t>
      </w:r>
      <w:proofErr w:type="gramStart"/>
      <w:r>
        <w:rPr>
          <w:sz w:val="20"/>
        </w:rPr>
        <w:t>Beneficiaries;</w:t>
      </w:r>
      <w:proofErr w:type="gramEnd"/>
    </w:p>
    <w:p w14:paraId="16E1DDD0" w14:textId="77777777" w:rsidR="00184FC4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report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breaches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Code</w:t>
      </w:r>
      <w:r>
        <w:rPr>
          <w:spacing w:val="-4"/>
          <w:sz w:val="20"/>
        </w:rPr>
        <w:t xml:space="preserve"> </w:t>
      </w:r>
      <w:r>
        <w:rPr>
          <w:sz w:val="20"/>
        </w:rPr>
        <w:t>promptly</w:t>
      </w:r>
      <w:r>
        <w:rPr>
          <w:spacing w:val="-8"/>
          <w:sz w:val="20"/>
        </w:rPr>
        <w:t xml:space="preserve"> </w:t>
      </w:r>
      <w:r>
        <w:rPr>
          <w:sz w:val="20"/>
        </w:rPr>
        <w:t>so</w:t>
      </w:r>
      <w:r>
        <w:rPr>
          <w:spacing w:val="-9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we</w:t>
      </w:r>
      <w:r>
        <w:rPr>
          <w:spacing w:val="-5"/>
          <w:sz w:val="20"/>
        </w:rPr>
        <w:t xml:space="preserve"> </w:t>
      </w:r>
      <w:r>
        <w:rPr>
          <w:sz w:val="20"/>
        </w:rPr>
        <w:t>can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investigate.</w:t>
      </w:r>
    </w:p>
    <w:p w14:paraId="72072005" w14:textId="77777777" w:rsidR="00184FC4" w:rsidRDefault="00184FC4">
      <w:pPr>
        <w:pStyle w:val="BodyText"/>
        <w:rPr>
          <w:sz w:val="24"/>
        </w:rPr>
      </w:pPr>
    </w:p>
    <w:p w14:paraId="16644725" w14:textId="77777777" w:rsidR="00184FC4" w:rsidRDefault="00000000">
      <w:pPr>
        <w:pStyle w:val="Heading1"/>
        <w:spacing w:before="179"/>
      </w:pPr>
      <w:r>
        <w:t>THINGS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AVOID</w:t>
      </w:r>
      <w:r>
        <w:rPr>
          <w:spacing w:val="-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CIRCUMSTANCES</w:t>
      </w:r>
      <w:r>
        <w:rPr>
          <w:spacing w:val="-7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2"/>
        </w:rPr>
        <w:t>EVER:</w:t>
      </w:r>
    </w:p>
    <w:p w14:paraId="200A1C80" w14:textId="77777777" w:rsidR="00184FC4" w:rsidRDefault="00184FC4">
      <w:pPr>
        <w:pStyle w:val="BodyText"/>
        <w:spacing w:before="2"/>
        <w:rPr>
          <w:b/>
        </w:rPr>
      </w:pPr>
    </w:p>
    <w:p w14:paraId="3EF42DF8" w14:textId="77777777" w:rsidR="00184FC4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11"/>
        <w:rPr>
          <w:sz w:val="20"/>
        </w:rPr>
      </w:pPr>
      <w:r>
        <w:rPr>
          <w:sz w:val="20"/>
        </w:rPr>
        <w:t xml:space="preserve">develop inappropriate relationships such as contact with a Fund Beneficiary that is not a part of the work of the </w:t>
      </w:r>
      <w:proofErr w:type="gramStart"/>
      <w:r>
        <w:rPr>
          <w:sz w:val="20"/>
        </w:rPr>
        <w:t>Fund;</w:t>
      </w:r>
      <w:proofErr w:type="gramEnd"/>
    </w:p>
    <w:p w14:paraId="38946A45" w14:textId="77777777" w:rsidR="00184FC4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3" w:lineRule="exact"/>
        <w:rPr>
          <w:sz w:val="20"/>
        </w:rPr>
      </w:pP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things</w:t>
      </w:r>
      <w:r>
        <w:rPr>
          <w:spacing w:val="-3"/>
          <w:sz w:val="20"/>
        </w:rPr>
        <w:t xml:space="preserve"> </w:t>
      </w:r>
      <w:r>
        <w:rPr>
          <w:sz w:val="20"/>
        </w:rPr>
        <w:t>of a</w:t>
      </w:r>
      <w:r>
        <w:rPr>
          <w:spacing w:val="-4"/>
          <w:sz w:val="20"/>
        </w:rPr>
        <w:t xml:space="preserve"> </w:t>
      </w:r>
      <w:r>
        <w:rPr>
          <w:sz w:val="20"/>
        </w:rPr>
        <w:t>personal</w:t>
      </w:r>
      <w:r>
        <w:rPr>
          <w:spacing w:val="-3"/>
          <w:sz w:val="20"/>
        </w:rPr>
        <w:t xml:space="preserve"> </w:t>
      </w:r>
      <w:r>
        <w:rPr>
          <w:sz w:val="20"/>
        </w:rPr>
        <w:t>nature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Fund</w:t>
      </w:r>
      <w:r>
        <w:rPr>
          <w:spacing w:val="-4"/>
          <w:sz w:val="20"/>
        </w:rPr>
        <w:t xml:space="preserve"> </w:t>
      </w:r>
      <w:r>
        <w:rPr>
          <w:sz w:val="20"/>
        </w:rPr>
        <w:t>Beneficiary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they</w:t>
      </w:r>
      <w:r>
        <w:rPr>
          <w:spacing w:val="-6"/>
          <w:sz w:val="20"/>
        </w:rPr>
        <w:t xml:space="preserve"> </w:t>
      </w:r>
      <w:r>
        <w:rPr>
          <w:sz w:val="20"/>
        </w:rPr>
        <w:t>can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proofErr w:type="gramStart"/>
      <w:r>
        <w:rPr>
          <w:spacing w:val="-2"/>
          <w:sz w:val="20"/>
        </w:rPr>
        <w:t>themselves;</w:t>
      </w:r>
      <w:proofErr w:type="gramEnd"/>
    </w:p>
    <w:p w14:paraId="30BDB77A" w14:textId="77777777" w:rsidR="00184FC4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2" w:lineRule="exact"/>
        <w:rPr>
          <w:sz w:val="20"/>
        </w:rPr>
      </w:pPr>
      <w:r>
        <w:rPr>
          <w:sz w:val="20"/>
        </w:rPr>
        <w:t>act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patronising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way</w:t>
      </w:r>
      <w:r>
        <w:rPr>
          <w:spacing w:val="-4"/>
          <w:sz w:val="20"/>
        </w:rPr>
        <w:t xml:space="preserve"> </w:t>
      </w:r>
      <w:r>
        <w:rPr>
          <w:sz w:val="20"/>
        </w:rPr>
        <w:t>towards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Fund</w:t>
      </w:r>
      <w:r>
        <w:rPr>
          <w:spacing w:val="-9"/>
          <w:sz w:val="20"/>
        </w:rPr>
        <w:t xml:space="preserve"> </w:t>
      </w:r>
      <w:proofErr w:type="gramStart"/>
      <w:r>
        <w:rPr>
          <w:spacing w:val="-2"/>
          <w:sz w:val="20"/>
        </w:rPr>
        <w:t>Beneficiary;</w:t>
      </w:r>
      <w:proofErr w:type="gramEnd"/>
    </w:p>
    <w:p w14:paraId="79349810" w14:textId="77777777" w:rsidR="00184FC4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11"/>
        <w:rPr>
          <w:sz w:val="20"/>
        </w:rPr>
      </w:pPr>
      <w:r>
        <w:rPr>
          <w:sz w:val="20"/>
        </w:rPr>
        <w:t>make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0"/>
          <w:sz w:val="20"/>
        </w:rPr>
        <w:t xml:space="preserve"> </w:t>
      </w:r>
      <w:r>
        <w:rPr>
          <w:sz w:val="20"/>
        </w:rPr>
        <w:t>connection</w:t>
      </w:r>
      <w:r>
        <w:rPr>
          <w:spacing w:val="40"/>
          <w:sz w:val="20"/>
        </w:rPr>
        <w:t xml:space="preserve"> </w:t>
      </w:r>
      <w:r>
        <w:rPr>
          <w:sz w:val="20"/>
        </w:rPr>
        <w:t>with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0"/>
          <w:sz w:val="20"/>
        </w:rPr>
        <w:t xml:space="preserve"> </w:t>
      </w:r>
      <w:r>
        <w:rPr>
          <w:sz w:val="20"/>
        </w:rPr>
        <w:t>Fund</w:t>
      </w:r>
      <w:r>
        <w:rPr>
          <w:spacing w:val="40"/>
          <w:sz w:val="20"/>
        </w:rPr>
        <w:t xml:space="preserve"> </w:t>
      </w:r>
      <w:r>
        <w:rPr>
          <w:sz w:val="20"/>
        </w:rPr>
        <w:t>Beneficiary</w:t>
      </w:r>
      <w:r>
        <w:rPr>
          <w:spacing w:val="40"/>
          <w:sz w:val="20"/>
        </w:rPr>
        <w:t xml:space="preserve"> </w:t>
      </w:r>
      <w:r>
        <w:rPr>
          <w:sz w:val="20"/>
        </w:rPr>
        <w:t>on</w:t>
      </w:r>
      <w:r>
        <w:rPr>
          <w:spacing w:val="40"/>
          <w:sz w:val="20"/>
        </w:rPr>
        <w:t xml:space="preserve"> </w:t>
      </w:r>
      <w:r>
        <w:rPr>
          <w:sz w:val="20"/>
        </w:rPr>
        <w:t>your</w:t>
      </w:r>
      <w:r>
        <w:rPr>
          <w:spacing w:val="40"/>
          <w:sz w:val="20"/>
        </w:rPr>
        <w:t xml:space="preserve"> </w:t>
      </w:r>
      <w:r>
        <w:rPr>
          <w:sz w:val="20"/>
        </w:rPr>
        <w:t>personal</w:t>
      </w:r>
      <w:r>
        <w:rPr>
          <w:spacing w:val="40"/>
          <w:sz w:val="20"/>
        </w:rPr>
        <w:t xml:space="preserve"> </w:t>
      </w:r>
      <w:r>
        <w:rPr>
          <w:sz w:val="20"/>
        </w:rPr>
        <w:t>social</w:t>
      </w:r>
      <w:r>
        <w:rPr>
          <w:spacing w:val="40"/>
          <w:sz w:val="20"/>
        </w:rPr>
        <w:t xml:space="preserve"> </w:t>
      </w:r>
      <w:r>
        <w:rPr>
          <w:sz w:val="20"/>
        </w:rPr>
        <w:t>media</w:t>
      </w:r>
      <w:r>
        <w:rPr>
          <w:spacing w:val="40"/>
          <w:sz w:val="20"/>
        </w:rPr>
        <w:t xml:space="preserve"> </w:t>
      </w:r>
      <w:r>
        <w:rPr>
          <w:sz w:val="20"/>
        </w:rPr>
        <w:t>accounts,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for example, Facebook or </w:t>
      </w:r>
      <w:proofErr w:type="gramStart"/>
      <w:r>
        <w:rPr>
          <w:sz w:val="20"/>
        </w:rPr>
        <w:t>Twitter;</w:t>
      </w:r>
      <w:proofErr w:type="gramEnd"/>
    </w:p>
    <w:p w14:paraId="71BA885C" w14:textId="77777777" w:rsidR="00184FC4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" w:line="232" w:lineRule="auto"/>
        <w:ind w:right="112"/>
        <w:rPr>
          <w:sz w:val="20"/>
        </w:rPr>
      </w:pPr>
      <w:r>
        <w:rPr>
          <w:sz w:val="20"/>
        </w:rPr>
        <w:t xml:space="preserve">make sarcastic, insensitive, derogatory or sexually suggestive comments or gestures to or in front of Fund </w:t>
      </w:r>
      <w:proofErr w:type="gramStart"/>
      <w:r>
        <w:rPr>
          <w:sz w:val="20"/>
        </w:rPr>
        <w:t>Beneficiaries;</w:t>
      </w:r>
      <w:proofErr w:type="gramEnd"/>
    </w:p>
    <w:p w14:paraId="1C0E16A7" w14:textId="77777777" w:rsidR="00184FC4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 w:line="245" w:lineRule="exact"/>
        <w:rPr>
          <w:sz w:val="20"/>
        </w:rPr>
      </w:pPr>
      <w:r>
        <w:rPr>
          <w:sz w:val="20"/>
        </w:rPr>
        <w:t>act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way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can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perceived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threatening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proofErr w:type="gramStart"/>
      <w:r>
        <w:rPr>
          <w:spacing w:val="-2"/>
          <w:sz w:val="20"/>
        </w:rPr>
        <w:t>intrusive;</w:t>
      </w:r>
      <w:proofErr w:type="gramEnd"/>
    </w:p>
    <w:p w14:paraId="6387C76D" w14:textId="77777777" w:rsidR="00184FC4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5" w:lineRule="exact"/>
        <w:rPr>
          <w:sz w:val="20"/>
        </w:rPr>
      </w:pPr>
      <w:r>
        <w:rPr>
          <w:sz w:val="20"/>
        </w:rPr>
        <w:t>make</w:t>
      </w:r>
      <w:r>
        <w:rPr>
          <w:spacing w:val="-9"/>
          <w:sz w:val="20"/>
        </w:rPr>
        <w:t xml:space="preserve"> </w:t>
      </w:r>
      <w:r>
        <w:rPr>
          <w:sz w:val="20"/>
        </w:rPr>
        <w:t>inappropriate</w:t>
      </w:r>
      <w:r>
        <w:rPr>
          <w:spacing w:val="-6"/>
          <w:sz w:val="20"/>
        </w:rPr>
        <w:t xml:space="preserve"> </w:t>
      </w:r>
      <w:r>
        <w:rPr>
          <w:sz w:val="20"/>
        </w:rPr>
        <w:t>promises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Fund</w:t>
      </w:r>
      <w:r>
        <w:rPr>
          <w:spacing w:val="-6"/>
          <w:sz w:val="20"/>
        </w:rPr>
        <w:t xml:space="preserve"> </w:t>
      </w:r>
      <w:r>
        <w:rPr>
          <w:sz w:val="20"/>
        </w:rPr>
        <w:t>Beneficiary,</w:t>
      </w:r>
      <w:r>
        <w:rPr>
          <w:spacing w:val="-3"/>
          <w:sz w:val="20"/>
        </w:rPr>
        <w:t xml:space="preserve"> </w:t>
      </w:r>
      <w:r>
        <w:rPr>
          <w:sz w:val="20"/>
        </w:rPr>
        <w:t>particularly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relation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proofErr w:type="gramStart"/>
      <w:r>
        <w:rPr>
          <w:spacing w:val="-2"/>
          <w:sz w:val="20"/>
        </w:rPr>
        <w:t>confidentiality;</w:t>
      </w:r>
      <w:proofErr w:type="gramEnd"/>
    </w:p>
    <w:p w14:paraId="6AFA9ABA" w14:textId="77777777" w:rsidR="00184FC4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2" w:lineRule="exact"/>
        <w:rPr>
          <w:sz w:val="20"/>
        </w:rPr>
      </w:pPr>
      <w:r>
        <w:rPr>
          <w:sz w:val="20"/>
        </w:rPr>
        <w:t>either</w:t>
      </w:r>
      <w:r>
        <w:rPr>
          <w:spacing w:val="-8"/>
          <w:sz w:val="20"/>
        </w:rPr>
        <w:t xml:space="preserve"> </w:t>
      </w:r>
      <w:r>
        <w:rPr>
          <w:sz w:val="20"/>
        </w:rPr>
        <w:t>exaggerate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trivialise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child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adult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9"/>
          <w:sz w:val="20"/>
        </w:rPr>
        <w:t xml:space="preserve"> </w:t>
      </w:r>
      <w:r>
        <w:rPr>
          <w:sz w:val="20"/>
        </w:rPr>
        <w:t>risk/vulnerable</w:t>
      </w:r>
      <w:r>
        <w:rPr>
          <w:spacing w:val="-7"/>
          <w:sz w:val="20"/>
        </w:rPr>
        <w:t xml:space="preserve"> </w:t>
      </w:r>
      <w:r>
        <w:rPr>
          <w:sz w:val="20"/>
        </w:rPr>
        <w:t>adult</w:t>
      </w:r>
      <w:r>
        <w:rPr>
          <w:spacing w:val="-4"/>
          <w:sz w:val="20"/>
        </w:rPr>
        <w:t xml:space="preserve"> </w:t>
      </w:r>
      <w:r>
        <w:rPr>
          <w:sz w:val="20"/>
        </w:rPr>
        <w:t>abuse</w:t>
      </w:r>
      <w:r>
        <w:rPr>
          <w:spacing w:val="-6"/>
          <w:sz w:val="20"/>
        </w:rPr>
        <w:t xml:space="preserve"> </w:t>
      </w:r>
      <w:proofErr w:type="gramStart"/>
      <w:r>
        <w:rPr>
          <w:spacing w:val="-2"/>
          <w:sz w:val="20"/>
        </w:rPr>
        <w:t>issues;</w:t>
      </w:r>
      <w:proofErr w:type="gramEnd"/>
    </w:p>
    <w:p w14:paraId="2B0ED49F" w14:textId="77777777" w:rsidR="00184FC4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2" w:lineRule="exact"/>
        <w:rPr>
          <w:sz w:val="20"/>
        </w:rPr>
      </w:pPr>
      <w:r>
        <w:rPr>
          <w:sz w:val="20"/>
        </w:rPr>
        <w:t>rely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reputation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that 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Fund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protect</w:t>
      </w:r>
      <w:r>
        <w:rPr>
          <w:spacing w:val="-5"/>
          <w:sz w:val="20"/>
        </w:rPr>
        <w:t xml:space="preserve"> </w:t>
      </w:r>
      <w:proofErr w:type="gramStart"/>
      <w:r>
        <w:rPr>
          <w:spacing w:val="-4"/>
          <w:sz w:val="20"/>
        </w:rPr>
        <w:t>you;</w:t>
      </w:r>
      <w:proofErr w:type="gramEnd"/>
    </w:p>
    <w:p w14:paraId="72FFA5C2" w14:textId="77777777" w:rsidR="00184FC4" w:rsidRDefault="00000000">
      <w:pPr>
        <w:pStyle w:val="ListParagraph"/>
        <w:numPr>
          <w:ilvl w:val="0"/>
          <w:numId w:val="1"/>
        </w:numPr>
        <w:tabs>
          <w:tab w:val="left" w:pos="821"/>
        </w:tabs>
        <w:jc w:val="both"/>
        <w:rPr>
          <w:sz w:val="20"/>
        </w:rPr>
      </w:pPr>
      <w:r>
        <w:rPr>
          <w:sz w:val="20"/>
        </w:rPr>
        <w:t>allow</w:t>
      </w:r>
      <w:r>
        <w:rPr>
          <w:spacing w:val="-6"/>
          <w:sz w:val="20"/>
        </w:rPr>
        <w:t xml:space="preserve"> </w:t>
      </w:r>
      <w:r>
        <w:rPr>
          <w:sz w:val="20"/>
        </w:rPr>
        <w:t>allegations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abuse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misconduct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go</w:t>
      </w:r>
      <w:r>
        <w:rPr>
          <w:spacing w:val="-5"/>
          <w:sz w:val="20"/>
        </w:rPr>
        <w:t xml:space="preserve"> </w:t>
      </w:r>
      <w:proofErr w:type="gramStart"/>
      <w:r>
        <w:rPr>
          <w:spacing w:val="-2"/>
          <w:sz w:val="20"/>
        </w:rPr>
        <w:t>unreported;</w:t>
      </w:r>
      <w:proofErr w:type="gramEnd"/>
    </w:p>
    <w:p w14:paraId="5487070D" w14:textId="77777777" w:rsidR="00184FC4" w:rsidRDefault="00000000">
      <w:pPr>
        <w:pStyle w:val="ListParagraph"/>
        <w:numPr>
          <w:ilvl w:val="0"/>
          <w:numId w:val="1"/>
        </w:numPr>
        <w:tabs>
          <w:tab w:val="left" w:pos="821"/>
        </w:tabs>
        <w:ind w:right="105"/>
        <w:jc w:val="both"/>
        <w:rPr>
          <w:sz w:val="20"/>
        </w:rPr>
      </w:pPr>
      <w:r>
        <w:rPr>
          <w:sz w:val="20"/>
        </w:rPr>
        <w:t>conduct a</w:t>
      </w:r>
      <w:r>
        <w:rPr>
          <w:spacing w:val="-2"/>
          <w:sz w:val="20"/>
        </w:rPr>
        <w:t xml:space="preserve"> </w:t>
      </w:r>
      <w:r>
        <w:rPr>
          <w:sz w:val="20"/>
        </w:rPr>
        <w:t>sexual</w:t>
      </w:r>
      <w:r>
        <w:rPr>
          <w:spacing w:val="-2"/>
          <w:sz w:val="20"/>
        </w:rPr>
        <w:t xml:space="preserve"> </w:t>
      </w:r>
      <w:r>
        <w:rPr>
          <w:sz w:val="20"/>
        </w:rPr>
        <w:t>relationship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indulge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form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sexual</w:t>
      </w:r>
      <w:r>
        <w:rPr>
          <w:spacing w:val="-2"/>
          <w:sz w:val="20"/>
        </w:rPr>
        <w:t xml:space="preserve"> </w:t>
      </w:r>
      <w:r>
        <w:rPr>
          <w:sz w:val="20"/>
        </w:rPr>
        <w:t>contact with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Fund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Beneficiary. Any such </w:t>
      </w:r>
      <w:proofErr w:type="spellStart"/>
      <w:r>
        <w:rPr>
          <w:sz w:val="20"/>
        </w:rPr>
        <w:t>behaviour</w:t>
      </w:r>
      <w:proofErr w:type="spellEnd"/>
      <w:r>
        <w:rPr>
          <w:sz w:val="20"/>
        </w:rPr>
        <w:t xml:space="preserve"> represents a serious breach of trust on the part of the Fund Representative and is not acceptable under any circumstances.</w:t>
      </w:r>
    </w:p>
    <w:p w14:paraId="5B265610" w14:textId="77777777" w:rsidR="00184FC4" w:rsidRDefault="00184FC4">
      <w:pPr>
        <w:pStyle w:val="BodyText"/>
        <w:rPr>
          <w:sz w:val="22"/>
        </w:rPr>
      </w:pPr>
    </w:p>
    <w:p w14:paraId="68C08392" w14:textId="77777777" w:rsidR="00184FC4" w:rsidRDefault="00184FC4">
      <w:pPr>
        <w:pStyle w:val="BodyText"/>
        <w:spacing w:before="7"/>
        <w:rPr>
          <w:sz w:val="17"/>
        </w:rPr>
      </w:pPr>
    </w:p>
    <w:p w14:paraId="3C845720" w14:textId="77777777" w:rsidR="00184FC4" w:rsidRDefault="00000000">
      <w:pPr>
        <w:pStyle w:val="Heading1"/>
      </w:pPr>
      <w:r>
        <w:t>UPHOLDING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CODE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BEHAVIOUR</w:t>
      </w:r>
    </w:p>
    <w:p w14:paraId="3C0F2D5C" w14:textId="77777777" w:rsidR="00184FC4" w:rsidRDefault="00184FC4">
      <w:pPr>
        <w:pStyle w:val="BodyText"/>
        <w:spacing w:before="1"/>
        <w:rPr>
          <w:b/>
        </w:rPr>
      </w:pPr>
    </w:p>
    <w:p w14:paraId="2D4BE7E2" w14:textId="77777777" w:rsidR="00184FC4" w:rsidRDefault="00000000">
      <w:pPr>
        <w:pStyle w:val="BodyText"/>
        <w:ind w:left="100" w:right="108"/>
        <w:jc w:val="both"/>
      </w:pPr>
      <w:r>
        <w:t>All Fund Representatives are expected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abide by these guidelines. In addition, the</w:t>
      </w:r>
      <w:r>
        <w:rPr>
          <w:spacing w:val="-2"/>
        </w:rPr>
        <w:t xml:space="preserve"> </w:t>
      </w:r>
      <w:r>
        <w:t xml:space="preserve">Fund will support any Fund Representative who experiences or witnesses any inappropriate </w:t>
      </w:r>
      <w:proofErr w:type="spellStart"/>
      <w:r>
        <w:t>behaviour</w:t>
      </w:r>
      <w:proofErr w:type="spellEnd"/>
      <w:r>
        <w:t xml:space="preserve"> (as set out in</w:t>
      </w:r>
      <w:r>
        <w:rPr>
          <w:spacing w:val="40"/>
        </w:rPr>
        <w:t xml:space="preserve"> </w:t>
      </w:r>
      <w:r>
        <w:t xml:space="preserve">this Code) from a Fund Beneficiary. In such circumstances, a report of such </w:t>
      </w:r>
      <w:proofErr w:type="spellStart"/>
      <w:r>
        <w:t>behaviour</w:t>
      </w:r>
      <w:proofErr w:type="spellEnd"/>
      <w:r>
        <w:t xml:space="preserve"> should be prepared by the Fund Representative.</w:t>
      </w:r>
      <w:r>
        <w:rPr>
          <w:spacing w:val="40"/>
        </w:rPr>
        <w:t xml:space="preserve"> </w:t>
      </w:r>
      <w:r>
        <w:t>Any observed breaches of this code whether by a Fund Representative or by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t>Beneficiary</w:t>
      </w:r>
      <w:r>
        <w:rPr>
          <w:spacing w:val="-1"/>
        </w:rPr>
        <w:t xml:space="preserve"> </w:t>
      </w:r>
      <w:r>
        <w:t>towards a</w:t>
      </w:r>
      <w:r>
        <w:rPr>
          <w:spacing w:val="-2"/>
        </w:rPr>
        <w:t xml:space="preserve"> </w:t>
      </w:r>
      <w:r>
        <w:t>Fund Representative should be</w:t>
      </w:r>
      <w:r>
        <w:rPr>
          <w:spacing w:val="-2"/>
        </w:rPr>
        <w:t xml:space="preserve"> </w:t>
      </w:r>
      <w:r>
        <w:t>reported to</w:t>
      </w:r>
      <w:r>
        <w:rPr>
          <w:spacing w:val="-2"/>
        </w:rPr>
        <w:t xml:space="preserve"> </w:t>
      </w:r>
      <w:r>
        <w:t>Forum Court in the first instance for consideration by the Trustees as soon as is practicably possible.</w:t>
      </w:r>
    </w:p>
    <w:p w14:paraId="540B8B30" w14:textId="77777777" w:rsidR="00184FC4" w:rsidRDefault="00184FC4">
      <w:pPr>
        <w:pStyle w:val="BodyText"/>
        <w:spacing w:before="3"/>
      </w:pPr>
    </w:p>
    <w:p w14:paraId="59E79238" w14:textId="77777777" w:rsidR="00184FC4" w:rsidRDefault="00000000">
      <w:pPr>
        <w:pStyle w:val="Heading1"/>
      </w:pPr>
      <w:r>
        <w:t>ACTION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BREACH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BEHAVIOUR</w:t>
      </w:r>
    </w:p>
    <w:p w14:paraId="23E149C2" w14:textId="77777777" w:rsidR="00184FC4" w:rsidRDefault="00184FC4">
      <w:pPr>
        <w:pStyle w:val="BodyText"/>
        <w:spacing w:before="8"/>
        <w:rPr>
          <w:b/>
          <w:sz w:val="19"/>
        </w:rPr>
      </w:pPr>
    </w:p>
    <w:p w14:paraId="14D76208" w14:textId="77777777" w:rsidR="00184FC4" w:rsidRDefault="00000000">
      <w:pPr>
        <w:pStyle w:val="BodyText"/>
        <w:ind w:left="100" w:right="112"/>
        <w:jc w:val="both"/>
      </w:pPr>
      <w:r>
        <w:t xml:space="preserve">Any breaches to the requirements of this Code may result in disciplinary action which could lead to dismissal and will be notified to future employers; similarly, volunteers may be removed from their </w:t>
      </w:r>
      <w:r>
        <w:rPr>
          <w:spacing w:val="-2"/>
        </w:rPr>
        <w:t>roles.</w:t>
      </w:r>
    </w:p>
    <w:p w14:paraId="25D89C7B" w14:textId="77777777" w:rsidR="00184FC4" w:rsidRDefault="00184FC4">
      <w:pPr>
        <w:pStyle w:val="BodyText"/>
        <w:spacing w:before="2"/>
      </w:pPr>
    </w:p>
    <w:p w14:paraId="01F7F0C8" w14:textId="77777777" w:rsidR="00184FC4" w:rsidRDefault="00000000">
      <w:pPr>
        <w:pStyle w:val="BodyText"/>
        <w:ind w:left="100" w:right="109"/>
        <w:jc w:val="both"/>
      </w:pPr>
      <w:r>
        <w:t>Serious breaches will also result in a referral being made to the relevant statutory agencies such as the police (both locally and in the UK), the local authority children’s social care department or safeguarding adults board and/or the Disclosure and Barring Service.</w:t>
      </w:r>
    </w:p>
    <w:p w14:paraId="1FDCD0D2" w14:textId="77777777" w:rsidR="00184FC4" w:rsidRDefault="00184FC4">
      <w:pPr>
        <w:pStyle w:val="BodyText"/>
        <w:spacing w:before="2"/>
      </w:pPr>
    </w:p>
    <w:p w14:paraId="7543C98D" w14:textId="77777777" w:rsidR="00184FC4" w:rsidRDefault="00000000">
      <w:pPr>
        <w:ind w:left="100"/>
        <w:jc w:val="both"/>
        <w:rPr>
          <w:b/>
          <w:sz w:val="20"/>
        </w:rPr>
      </w:pPr>
      <w:r>
        <w:rPr>
          <w:b/>
          <w:sz w:val="20"/>
        </w:rPr>
        <w:t>We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committed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reviewing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Code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good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practice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annually.</w:t>
      </w:r>
    </w:p>
    <w:p w14:paraId="44981F15" w14:textId="77777777" w:rsidR="00184FC4" w:rsidRDefault="00184FC4">
      <w:pPr>
        <w:pStyle w:val="BodyText"/>
        <w:rPr>
          <w:b/>
          <w:sz w:val="22"/>
        </w:rPr>
      </w:pPr>
    </w:p>
    <w:p w14:paraId="1AED4205" w14:textId="77777777" w:rsidR="00184FC4" w:rsidRPr="00835CEC" w:rsidRDefault="00184FC4">
      <w:pPr>
        <w:pStyle w:val="BodyText"/>
        <w:spacing w:before="8"/>
        <w:rPr>
          <w:b/>
          <w:sz w:val="17"/>
        </w:rPr>
      </w:pPr>
    </w:p>
    <w:p w14:paraId="3626CC75" w14:textId="2021F02B" w:rsidR="00835CEC" w:rsidRPr="00835CEC" w:rsidRDefault="00000000">
      <w:pPr>
        <w:pStyle w:val="BodyText"/>
        <w:tabs>
          <w:tab w:val="left" w:leader="dot" w:pos="6437"/>
          <w:tab w:val="left" w:leader="dot" w:pos="6508"/>
        </w:tabs>
        <w:spacing w:line="722" w:lineRule="auto"/>
        <w:ind w:left="100" w:right="2210"/>
      </w:pPr>
      <w:r w:rsidRPr="00835CEC">
        <w:t>This Code was agreed on</w:t>
      </w:r>
      <w:r w:rsidR="00835CEC" w:rsidRPr="00835CEC">
        <w:t xml:space="preserve"> 15</w:t>
      </w:r>
      <w:r w:rsidR="00835CEC" w:rsidRPr="00835CEC">
        <w:rPr>
          <w:vertAlign w:val="superscript"/>
        </w:rPr>
        <w:t>th</w:t>
      </w:r>
      <w:r w:rsidR="00835CEC" w:rsidRPr="00835CEC">
        <w:t xml:space="preserve"> September 2022</w:t>
      </w:r>
    </w:p>
    <w:p w14:paraId="1B0A880B" w14:textId="0C20C253" w:rsidR="00184FC4" w:rsidRDefault="00000000">
      <w:pPr>
        <w:pStyle w:val="BodyText"/>
        <w:tabs>
          <w:tab w:val="left" w:leader="dot" w:pos="6437"/>
          <w:tab w:val="left" w:leader="dot" w:pos="6508"/>
        </w:tabs>
        <w:spacing w:line="722" w:lineRule="auto"/>
        <w:ind w:left="100" w:right="2210"/>
      </w:pPr>
      <w:r>
        <w:t>And last reviewed on:</w:t>
      </w:r>
      <w:r w:rsidR="00835CEC">
        <w:t>…………………………….</w:t>
      </w:r>
    </w:p>
    <w:sectPr w:rsidR="00184FC4">
      <w:pgSz w:w="11910" w:h="16840"/>
      <w:pgMar w:top="1040" w:right="1320" w:bottom="880" w:left="1340" w:header="0" w:footer="6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60139" w14:textId="77777777" w:rsidR="00564A94" w:rsidRDefault="00564A94">
      <w:r>
        <w:separator/>
      </w:r>
    </w:p>
  </w:endnote>
  <w:endnote w:type="continuationSeparator" w:id="0">
    <w:p w14:paraId="47FCFA07" w14:textId="77777777" w:rsidR="00564A94" w:rsidRDefault="0056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589B" w14:textId="77777777" w:rsidR="00184FC4" w:rsidRDefault="00000000">
    <w:pPr>
      <w:pStyle w:val="BodyText"/>
      <w:spacing w:line="14" w:lineRule="auto"/>
    </w:pPr>
    <w:r>
      <w:pict w14:anchorId="68F6459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71pt;margin-top:796.8pt;width:44.05pt;height:10.85pt;z-index:-251658752;mso-position-horizontal-relative:page;mso-position-vertical-relative:page" filled="f" stroked="f">
          <v:textbox style="mso-next-textbox:#docshape1" inset="0,0,0,0">
            <w:txbxContent>
              <w:p w14:paraId="4AD90707" w14:textId="77777777" w:rsidR="00184FC4" w:rsidRDefault="00000000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pacing w:val="-2"/>
                    <w:sz w:val="16"/>
                  </w:rPr>
                  <w:t>14962921.1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15684" w14:textId="77777777" w:rsidR="00564A94" w:rsidRDefault="00564A94">
      <w:r>
        <w:separator/>
      </w:r>
    </w:p>
  </w:footnote>
  <w:footnote w:type="continuationSeparator" w:id="0">
    <w:p w14:paraId="1E1E7875" w14:textId="77777777" w:rsidR="00564A94" w:rsidRDefault="00564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537F2"/>
    <w:multiLevelType w:val="hybridMultilevel"/>
    <w:tmpl w:val="1D2EDDF6"/>
    <w:lvl w:ilvl="0" w:tplc="C1CA0B96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F9A4A6DC">
      <w:numFmt w:val="bullet"/>
      <w:lvlText w:val="•"/>
      <w:lvlJc w:val="left"/>
      <w:pPr>
        <w:ind w:left="1662" w:hanging="361"/>
      </w:pPr>
      <w:rPr>
        <w:rFonts w:hint="default"/>
        <w:lang w:val="en-US" w:eastAsia="en-US" w:bidi="ar-SA"/>
      </w:rPr>
    </w:lvl>
    <w:lvl w:ilvl="2" w:tplc="E83CDE30">
      <w:numFmt w:val="bullet"/>
      <w:lvlText w:val="•"/>
      <w:lvlJc w:val="left"/>
      <w:pPr>
        <w:ind w:left="2504" w:hanging="361"/>
      </w:pPr>
      <w:rPr>
        <w:rFonts w:hint="default"/>
        <w:lang w:val="en-US" w:eastAsia="en-US" w:bidi="ar-SA"/>
      </w:rPr>
    </w:lvl>
    <w:lvl w:ilvl="3" w:tplc="783872F4">
      <w:numFmt w:val="bullet"/>
      <w:lvlText w:val="•"/>
      <w:lvlJc w:val="left"/>
      <w:pPr>
        <w:ind w:left="3347" w:hanging="361"/>
      </w:pPr>
      <w:rPr>
        <w:rFonts w:hint="default"/>
        <w:lang w:val="en-US" w:eastAsia="en-US" w:bidi="ar-SA"/>
      </w:rPr>
    </w:lvl>
    <w:lvl w:ilvl="4" w:tplc="8C7CF44C">
      <w:numFmt w:val="bullet"/>
      <w:lvlText w:val="•"/>
      <w:lvlJc w:val="left"/>
      <w:pPr>
        <w:ind w:left="4189" w:hanging="361"/>
      </w:pPr>
      <w:rPr>
        <w:rFonts w:hint="default"/>
        <w:lang w:val="en-US" w:eastAsia="en-US" w:bidi="ar-SA"/>
      </w:rPr>
    </w:lvl>
    <w:lvl w:ilvl="5" w:tplc="951CE4CA">
      <w:numFmt w:val="bullet"/>
      <w:lvlText w:val="•"/>
      <w:lvlJc w:val="left"/>
      <w:pPr>
        <w:ind w:left="5032" w:hanging="361"/>
      </w:pPr>
      <w:rPr>
        <w:rFonts w:hint="default"/>
        <w:lang w:val="en-US" w:eastAsia="en-US" w:bidi="ar-SA"/>
      </w:rPr>
    </w:lvl>
    <w:lvl w:ilvl="6" w:tplc="AD0AC45C">
      <w:numFmt w:val="bullet"/>
      <w:lvlText w:val="•"/>
      <w:lvlJc w:val="left"/>
      <w:pPr>
        <w:ind w:left="5874" w:hanging="361"/>
      </w:pPr>
      <w:rPr>
        <w:rFonts w:hint="default"/>
        <w:lang w:val="en-US" w:eastAsia="en-US" w:bidi="ar-SA"/>
      </w:rPr>
    </w:lvl>
    <w:lvl w:ilvl="7" w:tplc="B8DC7000">
      <w:numFmt w:val="bullet"/>
      <w:lvlText w:val="•"/>
      <w:lvlJc w:val="left"/>
      <w:pPr>
        <w:ind w:left="6716" w:hanging="361"/>
      </w:pPr>
      <w:rPr>
        <w:rFonts w:hint="default"/>
        <w:lang w:val="en-US" w:eastAsia="en-US" w:bidi="ar-SA"/>
      </w:rPr>
    </w:lvl>
    <w:lvl w:ilvl="8" w:tplc="49328688">
      <w:numFmt w:val="bullet"/>
      <w:lvlText w:val="•"/>
      <w:lvlJc w:val="left"/>
      <w:pPr>
        <w:ind w:left="7559" w:hanging="361"/>
      </w:pPr>
      <w:rPr>
        <w:rFonts w:hint="default"/>
        <w:lang w:val="en-US" w:eastAsia="en-US" w:bidi="ar-SA"/>
      </w:rPr>
    </w:lvl>
  </w:abstractNum>
  <w:num w:numId="1" w16cid:durableId="21322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4FC4"/>
    <w:rsid w:val="00184FC4"/>
    <w:rsid w:val="00456537"/>
    <w:rsid w:val="00564A94"/>
    <w:rsid w:val="0083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BD163"/>
  <w15:docId w15:val="{FCD33080-AEC0-40CC-B295-2A01AFA7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565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53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565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53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sarahw</dc:creator>
  <cp:lastModifiedBy>Terri Lartice</cp:lastModifiedBy>
  <cp:revision>2</cp:revision>
  <dcterms:created xsi:type="dcterms:W3CDTF">2023-02-09T14:07:00Z</dcterms:created>
  <dcterms:modified xsi:type="dcterms:W3CDTF">2023-02-09T14:30:00Z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2023-02-09T00:00:00Z</vt:filetime>
  </property>
  <property fmtid="{D5CDD505-2E9C-101B-9397-08002B2CF9AE}" pid="5" name="Producer">
    <vt:lpwstr>Microsoft® Word for Microsoft 365</vt:lpwstr>
  </property>
</Properties>
</file>